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0" w:type="auto"/>
        <w:tblLook w:val="04A0" w:firstRow="1" w:lastRow="0" w:firstColumn="1" w:lastColumn="0" w:noHBand="0" w:noVBand="1"/>
      </w:tblPr>
      <w:tblGrid>
        <w:gridCol w:w="1269"/>
        <w:gridCol w:w="1670"/>
        <w:gridCol w:w="2193"/>
        <w:gridCol w:w="2750"/>
        <w:gridCol w:w="3830"/>
        <w:gridCol w:w="2236"/>
      </w:tblGrid>
      <w:tr w:rsidR="000046E5" w:rsidRPr="00A0678B" w14:paraId="274B2742" w14:textId="77777777" w:rsidTr="004A0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7A1580A2" w14:textId="77777777" w:rsidR="000046E5" w:rsidRPr="00A0678B" w:rsidRDefault="000046E5" w:rsidP="000046E5">
            <w:r w:rsidRPr="00A0678B">
              <w:t>Section for correction</w:t>
            </w:r>
          </w:p>
        </w:tc>
        <w:tc>
          <w:tcPr>
            <w:tcW w:w="1670" w:type="dxa"/>
          </w:tcPr>
          <w:p w14:paraId="25F4CCC0" w14:textId="77777777" w:rsidR="000046E5" w:rsidRPr="00A0678B" w:rsidRDefault="000046E5">
            <w:pPr>
              <w:cnfStyle w:val="100000000000" w:firstRow="1" w:lastRow="0" w:firstColumn="0" w:lastColumn="0" w:oddVBand="0" w:evenVBand="0" w:oddHBand="0" w:evenHBand="0" w:firstRowFirstColumn="0" w:firstRowLastColumn="0" w:lastRowFirstColumn="0" w:lastRowLastColumn="0"/>
            </w:pPr>
            <w:r w:rsidRPr="00A0678B">
              <w:t xml:space="preserve">Text for correction </w:t>
            </w:r>
          </w:p>
          <w:p w14:paraId="3B5FAC01" w14:textId="77777777" w:rsidR="000046E5" w:rsidRPr="00A0678B" w:rsidRDefault="000046E5">
            <w:pPr>
              <w:cnfStyle w:val="100000000000" w:firstRow="1" w:lastRow="0" w:firstColumn="0" w:lastColumn="0" w:oddVBand="0" w:evenVBand="0" w:oddHBand="0" w:evenHBand="0" w:firstRowFirstColumn="0" w:firstRowLastColumn="0" w:lastRowFirstColumn="0" w:lastRowLastColumn="0"/>
            </w:pPr>
            <w:r w:rsidRPr="00A0678B">
              <w:t>(line numbers)</w:t>
            </w:r>
          </w:p>
        </w:tc>
        <w:tc>
          <w:tcPr>
            <w:tcW w:w="2193" w:type="dxa"/>
          </w:tcPr>
          <w:p w14:paraId="60567C6D" w14:textId="77777777" w:rsidR="000046E5" w:rsidRPr="00A0678B" w:rsidRDefault="008D3794" w:rsidP="008D3794">
            <w:pPr>
              <w:cnfStyle w:val="100000000000" w:firstRow="1" w:lastRow="0" w:firstColumn="0" w:lastColumn="0" w:oddVBand="0" w:evenVBand="0" w:oddHBand="0" w:evenHBand="0" w:firstRowFirstColumn="0" w:firstRowLastColumn="0" w:lastRowFirstColumn="0" w:lastRowLastColumn="0"/>
            </w:pPr>
            <w:r w:rsidRPr="00A0678B">
              <w:t>Clear e</w:t>
            </w:r>
            <w:r w:rsidR="000046E5" w:rsidRPr="00A0678B">
              <w:t xml:space="preserve">rror or incorrect </w:t>
            </w:r>
            <w:r w:rsidRPr="00A0678B">
              <w:t>conclusion</w:t>
            </w:r>
          </w:p>
        </w:tc>
        <w:tc>
          <w:tcPr>
            <w:tcW w:w="2750" w:type="dxa"/>
          </w:tcPr>
          <w:p w14:paraId="70F0482C" w14:textId="77777777" w:rsidR="000046E5" w:rsidRPr="00A0678B" w:rsidRDefault="000046E5" w:rsidP="000046E5">
            <w:pPr>
              <w:cnfStyle w:val="100000000000" w:firstRow="1" w:lastRow="0" w:firstColumn="0" w:lastColumn="0" w:oddVBand="0" w:evenVBand="0" w:oddHBand="0" w:evenHBand="0" w:firstRowFirstColumn="0" w:firstRowLastColumn="0" w:lastRowFirstColumn="0" w:lastRowLastColumn="0"/>
            </w:pPr>
            <w:r w:rsidRPr="00A0678B">
              <w:t>Suggested new</w:t>
            </w:r>
            <w:r w:rsidR="008D3794" w:rsidRPr="00A0678B">
              <w:t xml:space="preserve"> phrasing</w:t>
            </w:r>
          </w:p>
        </w:tc>
        <w:tc>
          <w:tcPr>
            <w:tcW w:w="3830" w:type="dxa"/>
          </w:tcPr>
          <w:p w14:paraId="4D0DB360" w14:textId="77777777" w:rsidR="000046E5" w:rsidRPr="00A0678B" w:rsidRDefault="000046E5">
            <w:pPr>
              <w:cnfStyle w:val="100000000000" w:firstRow="1" w:lastRow="0" w:firstColumn="0" w:lastColumn="0" w:oddVBand="0" w:evenVBand="0" w:oddHBand="0" w:evenHBand="0" w:firstRowFirstColumn="0" w:firstRowLastColumn="0" w:lastRowFirstColumn="0" w:lastRowLastColumn="0"/>
            </w:pPr>
            <w:r w:rsidRPr="00A0678B">
              <w:t>Arguments that justify rephrasing</w:t>
            </w:r>
          </w:p>
        </w:tc>
        <w:tc>
          <w:tcPr>
            <w:tcW w:w="2236" w:type="dxa"/>
          </w:tcPr>
          <w:p w14:paraId="21A7393A" w14:textId="77777777" w:rsidR="000046E5" w:rsidRPr="00A0678B" w:rsidRDefault="000046E5">
            <w:pPr>
              <w:cnfStyle w:val="100000000000" w:firstRow="1" w:lastRow="0" w:firstColumn="0" w:lastColumn="0" w:oddVBand="0" w:evenVBand="0" w:oddHBand="0" w:evenHBand="0" w:firstRowFirstColumn="0" w:firstRowLastColumn="0" w:lastRowFirstColumn="0" w:lastRowLastColumn="0"/>
            </w:pPr>
            <w:r w:rsidRPr="00A0678B">
              <w:t>Techno-scientific evidence or literature (please upload if available)</w:t>
            </w:r>
          </w:p>
        </w:tc>
      </w:tr>
      <w:tr w:rsidR="000046E5" w:rsidRPr="00A0678B" w14:paraId="1A3016D2" w14:textId="77777777" w:rsidTr="004A0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92DE9DE" w14:textId="0187C15C" w:rsidR="000046E5" w:rsidRPr="00A0678B" w:rsidRDefault="000745E6">
            <w:pPr>
              <w:rPr>
                <w:rFonts w:ascii="Arial" w:hAnsi="Arial" w:cs="Arial"/>
                <w:sz w:val="20"/>
                <w:szCs w:val="20"/>
              </w:rPr>
            </w:pPr>
            <w:proofErr w:type="gramStart"/>
            <w:r w:rsidRPr="00A0678B">
              <w:rPr>
                <w:rFonts w:ascii="Arial" w:eastAsia="Times New Roman" w:hAnsi="Arial" w:cs="Arial"/>
                <w:sz w:val="20"/>
                <w:szCs w:val="20"/>
                <w:lang w:val="en-US" w:eastAsia="en-BE"/>
              </w:rPr>
              <w:t>e.g.</w:t>
            </w:r>
            <w:proofErr w:type="gramEnd"/>
            <w:r w:rsidRPr="00A0678B">
              <w:rPr>
                <w:rFonts w:ascii="Arial" w:eastAsia="Times New Roman" w:hAnsi="Arial" w:cs="Arial"/>
                <w:sz w:val="20"/>
                <w:szCs w:val="20"/>
                <w:lang w:val="en-US" w:eastAsia="en-BE"/>
              </w:rPr>
              <w:t xml:space="preserve"> </w:t>
            </w:r>
            <w:r w:rsidR="00C8116F" w:rsidRPr="00A0678B">
              <w:rPr>
                <w:rFonts w:ascii="Arial" w:eastAsia="Times New Roman" w:hAnsi="Arial" w:cs="Arial"/>
                <w:sz w:val="20"/>
                <w:szCs w:val="20"/>
                <w:lang w:val="en-US" w:eastAsia="en-BE"/>
              </w:rPr>
              <w:t xml:space="preserve">title, subtitles, and </w:t>
            </w:r>
            <w:r w:rsidRPr="00A0678B">
              <w:rPr>
                <w:rFonts w:ascii="Arial" w:eastAsia="Times New Roman" w:hAnsi="Arial" w:cs="Arial"/>
                <w:sz w:val="20"/>
                <w:szCs w:val="20"/>
                <w:lang w:val="en-US" w:eastAsia="en-BE"/>
              </w:rPr>
              <w:t>3.1.3.2</w:t>
            </w:r>
          </w:p>
        </w:tc>
        <w:tc>
          <w:tcPr>
            <w:tcW w:w="1670" w:type="dxa"/>
          </w:tcPr>
          <w:p w14:paraId="4171A9CA" w14:textId="77777777" w:rsidR="000046E5" w:rsidRPr="00A0678B" w:rsidRDefault="000046E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93" w:type="dxa"/>
          </w:tcPr>
          <w:p w14:paraId="408B7071" w14:textId="1A89BFD4" w:rsidR="000046E5" w:rsidRPr="00A0678B" w:rsidRDefault="009D37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en-BE"/>
              </w:rPr>
            </w:pPr>
            <w:r w:rsidRPr="00A0678B">
              <w:rPr>
                <w:rFonts w:ascii="Arial" w:eastAsia="Times New Roman" w:hAnsi="Arial" w:cs="Arial"/>
                <w:sz w:val="20"/>
                <w:szCs w:val="20"/>
                <w:lang w:val="en-US" w:eastAsia="en-BE"/>
              </w:rPr>
              <w:t xml:space="preserve">The report should </w:t>
            </w:r>
            <w:r w:rsidRPr="00A0678B">
              <w:rPr>
                <w:rFonts w:ascii="Arial" w:eastAsia="Times New Roman" w:hAnsi="Arial" w:cs="Arial"/>
                <w:sz w:val="20"/>
                <w:szCs w:val="20"/>
                <w:u w:val="single"/>
                <w:lang w:val="en-US" w:eastAsia="en-BE"/>
              </w:rPr>
              <w:t>focus on waste textiles as a principle</w:t>
            </w:r>
            <w:r w:rsidRPr="00A0678B">
              <w:rPr>
                <w:rFonts w:ascii="Arial" w:eastAsia="Times New Roman" w:hAnsi="Arial" w:cs="Arial"/>
                <w:sz w:val="20"/>
                <w:szCs w:val="20"/>
                <w:lang w:val="en-US" w:eastAsia="en-BE"/>
              </w:rPr>
              <w:t xml:space="preserve"> (</w:t>
            </w:r>
            <w:proofErr w:type="gramStart"/>
            <w:r w:rsidRPr="00A0678B">
              <w:rPr>
                <w:rFonts w:ascii="Arial" w:eastAsia="Times New Roman" w:hAnsi="Arial" w:cs="Arial"/>
                <w:sz w:val="20"/>
                <w:szCs w:val="20"/>
                <w:lang w:val="en-US" w:eastAsia="en-BE"/>
              </w:rPr>
              <w:t>e.g.</w:t>
            </w:r>
            <w:proofErr w:type="gramEnd"/>
            <w:r w:rsidRPr="00A0678B">
              <w:rPr>
                <w:rFonts w:ascii="Arial" w:eastAsia="Times New Roman" w:hAnsi="Arial" w:cs="Arial"/>
                <w:sz w:val="20"/>
                <w:szCs w:val="20"/>
                <w:lang w:val="en-US" w:eastAsia="en-BE"/>
              </w:rPr>
              <w:t xml:space="preserve"> title). </w:t>
            </w:r>
          </w:p>
        </w:tc>
        <w:tc>
          <w:tcPr>
            <w:tcW w:w="2750" w:type="dxa"/>
          </w:tcPr>
          <w:p w14:paraId="40657285" w14:textId="77777777" w:rsidR="000046E5" w:rsidRPr="00A0678B" w:rsidRDefault="000046E5">
            <w:pPr>
              <w:cnfStyle w:val="000000100000" w:firstRow="0" w:lastRow="0" w:firstColumn="0" w:lastColumn="0" w:oddVBand="0" w:evenVBand="0" w:oddHBand="1" w:evenHBand="0" w:firstRowFirstColumn="0" w:firstRowLastColumn="0" w:lastRowFirstColumn="0" w:lastRowLastColumn="0"/>
            </w:pPr>
          </w:p>
        </w:tc>
        <w:tc>
          <w:tcPr>
            <w:tcW w:w="3830" w:type="dxa"/>
          </w:tcPr>
          <w:p w14:paraId="0EE73F7F" w14:textId="3190E336" w:rsidR="000046E5" w:rsidRPr="00A0678B" w:rsidRDefault="005B65EF">
            <w:pPr>
              <w:cnfStyle w:val="000000100000" w:firstRow="0" w:lastRow="0" w:firstColumn="0" w:lastColumn="0" w:oddVBand="0" w:evenVBand="0" w:oddHBand="1" w:evenHBand="0" w:firstRowFirstColumn="0" w:firstRowLastColumn="0" w:lastRowFirstColumn="0" w:lastRowLastColumn="0"/>
            </w:pPr>
            <w:r w:rsidRPr="00A0678B">
              <w:rPr>
                <w:rFonts w:ascii="Arial" w:eastAsia="Times New Roman" w:hAnsi="Arial" w:cs="Arial"/>
                <w:sz w:val="20"/>
                <w:szCs w:val="20"/>
                <w:lang w:val="en-US" w:eastAsia="en-BE"/>
              </w:rPr>
              <w:t xml:space="preserve">Preparation for re-use is also a waste management activity, and waste textiles can also be used, so there is no need to mention both </w:t>
            </w:r>
            <w:proofErr w:type="gramStart"/>
            <w:r w:rsidRPr="00A0678B">
              <w:rPr>
                <w:rFonts w:ascii="Arial" w:eastAsia="Times New Roman" w:hAnsi="Arial" w:cs="Arial"/>
                <w:sz w:val="20"/>
                <w:szCs w:val="20"/>
                <w:lang w:val="en-US" w:eastAsia="en-BE"/>
              </w:rPr>
              <w:t>e.g.</w:t>
            </w:r>
            <w:proofErr w:type="gramEnd"/>
            <w:r w:rsidRPr="00A0678B">
              <w:rPr>
                <w:rFonts w:ascii="Arial" w:eastAsia="Times New Roman" w:hAnsi="Arial" w:cs="Arial"/>
                <w:sz w:val="20"/>
                <w:szCs w:val="20"/>
                <w:lang w:val="en-US" w:eastAsia="en-BE"/>
              </w:rPr>
              <w:t xml:space="preserve"> in the title. In fact, this leads to a lack of distinction between waste textiles and second-hand (used) textiles (output of a preparation for re-use activity) (</w:t>
            </w:r>
            <w:proofErr w:type="gramStart"/>
            <w:r w:rsidRPr="00A0678B">
              <w:rPr>
                <w:rFonts w:ascii="Arial" w:eastAsia="Times New Roman" w:hAnsi="Arial" w:cs="Arial"/>
                <w:sz w:val="20"/>
                <w:szCs w:val="20"/>
                <w:lang w:val="en-US" w:eastAsia="en-BE"/>
              </w:rPr>
              <w:t>e.g.</w:t>
            </w:r>
            <w:proofErr w:type="gramEnd"/>
            <w:r w:rsidRPr="00A0678B">
              <w:rPr>
                <w:rFonts w:ascii="Arial" w:eastAsia="Times New Roman" w:hAnsi="Arial" w:cs="Arial"/>
                <w:sz w:val="20"/>
                <w:szCs w:val="20"/>
                <w:lang w:val="en-US" w:eastAsia="en-BE"/>
              </w:rPr>
              <w:t xml:space="preserve"> in 3.1.3.2). One is waste, the other not, and both are subject to different rules and regulations. The definition of waste englobes ‘any substance, material or object which the holder discards or intends or is required to discard’. Once discarded (waste), the material can be prepared to be re-used or recycled in line with the waste legislation and will cease to fall under it at the end of each of the processes in line with the </w:t>
            </w:r>
            <w:proofErr w:type="spellStart"/>
            <w:r w:rsidRPr="00A0678B">
              <w:rPr>
                <w:rFonts w:ascii="Arial" w:eastAsia="Times New Roman" w:hAnsi="Arial" w:cs="Arial"/>
                <w:sz w:val="20"/>
                <w:szCs w:val="20"/>
                <w:lang w:val="en-US" w:eastAsia="en-BE"/>
              </w:rPr>
              <w:t>EoW</w:t>
            </w:r>
            <w:proofErr w:type="spellEnd"/>
            <w:r w:rsidRPr="00A0678B">
              <w:rPr>
                <w:rFonts w:ascii="Arial" w:eastAsia="Times New Roman" w:hAnsi="Arial" w:cs="Arial"/>
                <w:sz w:val="20"/>
                <w:szCs w:val="20"/>
                <w:lang w:val="en-US" w:eastAsia="en-BE"/>
              </w:rPr>
              <w:t xml:space="preserve"> criteria to be developed. A clear distinction of waste/non-waste allows proper application of legal requirements for waste. This ensures the environmentally sound and qualitative management of waste textiles without grey zones, where waste textiles are handled as second-hand goods (not waste) avoiding traceability and proper management of the waste.</w:t>
            </w:r>
          </w:p>
        </w:tc>
        <w:tc>
          <w:tcPr>
            <w:tcW w:w="2236" w:type="dxa"/>
          </w:tcPr>
          <w:p w14:paraId="587BA32F" w14:textId="77777777" w:rsidR="000046E5" w:rsidRPr="00A0678B" w:rsidRDefault="000046E5">
            <w:pPr>
              <w:cnfStyle w:val="000000100000" w:firstRow="0" w:lastRow="0" w:firstColumn="0" w:lastColumn="0" w:oddVBand="0" w:evenVBand="0" w:oddHBand="1" w:evenHBand="0" w:firstRowFirstColumn="0" w:firstRowLastColumn="0" w:lastRowFirstColumn="0" w:lastRowLastColumn="0"/>
            </w:pPr>
          </w:p>
        </w:tc>
      </w:tr>
      <w:tr w:rsidR="000046E5" w:rsidRPr="00A0678B" w14:paraId="575B7E92" w14:textId="77777777" w:rsidTr="004A0F83">
        <w:tc>
          <w:tcPr>
            <w:cnfStyle w:val="001000000000" w:firstRow="0" w:lastRow="0" w:firstColumn="1" w:lastColumn="0" w:oddVBand="0" w:evenVBand="0" w:oddHBand="0" w:evenHBand="0" w:firstRowFirstColumn="0" w:firstRowLastColumn="0" w:lastRowFirstColumn="0" w:lastRowLastColumn="0"/>
            <w:tcW w:w="1269" w:type="dxa"/>
          </w:tcPr>
          <w:p w14:paraId="41E83A79" w14:textId="071EBF68" w:rsidR="000046E5" w:rsidRPr="00A0678B" w:rsidRDefault="00A0678B">
            <w:pPr>
              <w:rPr>
                <w:rFonts w:ascii="Arial" w:hAnsi="Arial" w:cs="Arial"/>
                <w:sz w:val="20"/>
                <w:szCs w:val="20"/>
              </w:rPr>
            </w:pPr>
            <w:r w:rsidRPr="00A0678B">
              <w:rPr>
                <w:rFonts w:ascii="Arial" w:hAnsi="Arial" w:cs="Arial"/>
                <w:sz w:val="20"/>
                <w:szCs w:val="20"/>
              </w:rPr>
              <w:t xml:space="preserve">Section 1 </w:t>
            </w:r>
          </w:p>
        </w:tc>
        <w:tc>
          <w:tcPr>
            <w:tcW w:w="1670" w:type="dxa"/>
          </w:tcPr>
          <w:p w14:paraId="0518190A" w14:textId="77777777" w:rsidR="000046E5" w:rsidRPr="00A0678B" w:rsidRDefault="000046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93" w:type="dxa"/>
          </w:tcPr>
          <w:p w14:paraId="3C56EFF7" w14:textId="34642790" w:rsidR="00476AD8" w:rsidRPr="00A0678B" w:rsidRDefault="00FD58BC" w:rsidP="00476A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en-BE"/>
              </w:rPr>
            </w:pPr>
            <w:r>
              <w:rPr>
                <w:rFonts w:ascii="Arial" w:eastAsia="Times New Roman" w:hAnsi="Arial" w:cs="Arial"/>
                <w:sz w:val="20"/>
                <w:szCs w:val="20"/>
                <w:lang w:val="en-US" w:eastAsia="en-BE"/>
              </w:rPr>
              <w:t>T</w:t>
            </w:r>
            <w:r w:rsidR="00476AD8" w:rsidRPr="00A0678B">
              <w:rPr>
                <w:rFonts w:ascii="Arial" w:eastAsia="Times New Roman" w:hAnsi="Arial" w:cs="Arial"/>
                <w:sz w:val="20"/>
                <w:szCs w:val="20"/>
                <w:lang w:val="en-US" w:eastAsia="en-BE"/>
              </w:rPr>
              <w:t xml:space="preserve">he need to scale up recycling does not only arise from the </w:t>
            </w:r>
            <w:r w:rsidR="00476AD8" w:rsidRPr="00A0678B">
              <w:rPr>
                <w:rFonts w:ascii="Arial" w:eastAsia="Times New Roman" w:hAnsi="Arial" w:cs="Arial"/>
                <w:sz w:val="20"/>
                <w:szCs w:val="20"/>
                <w:lang w:val="en-US" w:eastAsia="en-BE"/>
              </w:rPr>
              <w:lastRenderedPageBreak/>
              <w:t>objectives of the EU strategy for sustainable and circular textiles, but from the Waste Framework Directive itself by introducing the mandatory separate collection of textiles. It should not affect the results, but it is important to mention the consequences of this mandatory separate collection from 2025 in the study’s objectives and its link to the Waste Framework Directive, as well as in the policy background:</w:t>
            </w:r>
          </w:p>
          <w:p w14:paraId="44B10C78" w14:textId="77777777" w:rsidR="00476AD8" w:rsidRPr="00A0678B" w:rsidRDefault="00476AD8" w:rsidP="00476AD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BE" w:eastAsia="en-BE"/>
              </w:rPr>
            </w:pPr>
            <w:r w:rsidRPr="00A0678B">
              <w:rPr>
                <w:rFonts w:eastAsia="Times New Roman" w:cs="Arial"/>
                <w:color w:val="auto"/>
                <w:sz w:val="20"/>
                <w:szCs w:val="20"/>
                <w:lang w:val="en-US" w:eastAsia="en-BE"/>
              </w:rPr>
              <w:t xml:space="preserve">Article 10(4) </w:t>
            </w:r>
            <w:proofErr w:type="spellStart"/>
            <w:r w:rsidRPr="00A0678B">
              <w:rPr>
                <w:rFonts w:eastAsia="Times New Roman" w:cs="Arial"/>
                <w:color w:val="auto"/>
                <w:sz w:val="20"/>
                <w:szCs w:val="20"/>
                <w:lang w:val="en-US" w:eastAsia="en-BE"/>
              </w:rPr>
              <w:t>WFD</w:t>
            </w:r>
            <w:proofErr w:type="spellEnd"/>
            <w:r w:rsidRPr="00A0678B">
              <w:rPr>
                <w:rFonts w:eastAsia="Times New Roman" w:cs="Arial"/>
                <w:color w:val="auto"/>
                <w:sz w:val="20"/>
                <w:szCs w:val="20"/>
                <w:lang w:val="en-US" w:eastAsia="en-BE"/>
              </w:rPr>
              <w:t xml:space="preserve">: </w:t>
            </w:r>
            <w:r w:rsidRPr="00A0678B">
              <w:rPr>
                <w:rFonts w:eastAsia="Times New Roman" w:cs="Arial"/>
                <w:i/>
                <w:iCs/>
                <w:color w:val="auto"/>
                <w:sz w:val="20"/>
                <w:szCs w:val="20"/>
                <w:lang w:val="en-US" w:eastAsia="en-BE"/>
              </w:rPr>
              <w:t xml:space="preserve">Member States shall take measures to ensure that </w:t>
            </w:r>
            <w:r w:rsidRPr="00A0678B">
              <w:rPr>
                <w:rFonts w:eastAsia="Times New Roman" w:cs="Arial"/>
                <w:i/>
                <w:iCs/>
                <w:color w:val="auto"/>
                <w:sz w:val="20"/>
                <w:szCs w:val="20"/>
                <w:u w:val="single"/>
                <w:lang w:val="en-US" w:eastAsia="en-BE"/>
              </w:rPr>
              <w:t>waste that has been separately collected for preparing for re-use and recycling</w:t>
            </w:r>
            <w:r w:rsidRPr="00A0678B">
              <w:rPr>
                <w:rFonts w:eastAsia="Times New Roman" w:cs="Arial"/>
                <w:i/>
                <w:iCs/>
                <w:color w:val="auto"/>
                <w:sz w:val="20"/>
                <w:szCs w:val="20"/>
                <w:lang w:val="en-US" w:eastAsia="en-BE"/>
              </w:rPr>
              <w:t xml:space="preserve"> pursuant to Article 11(1) </w:t>
            </w:r>
            <w:r w:rsidRPr="00A0678B">
              <w:rPr>
                <w:rFonts w:eastAsia="Times New Roman" w:cs="Arial"/>
                <w:i/>
                <w:iCs/>
                <w:color w:val="auto"/>
                <w:sz w:val="20"/>
                <w:szCs w:val="20"/>
                <w:lang w:val="en-US" w:eastAsia="en-BE"/>
              </w:rPr>
              <w:lastRenderedPageBreak/>
              <w:t xml:space="preserve">and Article 22 </w:t>
            </w:r>
            <w:r w:rsidRPr="00A0678B">
              <w:rPr>
                <w:rFonts w:eastAsia="Times New Roman" w:cs="Arial"/>
                <w:i/>
                <w:iCs/>
                <w:color w:val="auto"/>
                <w:sz w:val="20"/>
                <w:szCs w:val="20"/>
                <w:u w:val="single"/>
                <w:lang w:val="en-US" w:eastAsia="en-BE"/>
              </w:rPr>
              <w:t>is not incinerated</w:t>
            </w:r>
            <w:r w:rsidRPr="00A0678B">
              <w:rPr>
                <w:rFonts w:eastAsia="Times New Roman" w:cs="Arial"/>
                <w:i/>
                <w:iCs/>
                <w:color w:val="auto"/>
                <w:sz w:val="20"/>
                <w:szCs w:val="20"/>
                <w:lang w:val="en-US" w:eastAsia="en-BE"/>
              </w:rPr>
              <w:t xml:space="preserve">, </w:t>
            </w:r>
            <w:proofErr w:type="gramStart"/>
            <w:r w:rsidRPr="00A0678B">
              <w:rPr>
                <w:rFonts w:eastAsia="Times New Roman" w:cs="Arial"/>
                <w:i/>
                <w:iCs/>
                <w:color w:val="auto"/>
                <w:sz w:val="20"/>
                <w:szCs w:val="20"/>
                <w:lang w:val="en-US" w:eastAsia="en-BE"/>
              </w:rPr>
              <w:t>with the exception of</w:t>
            </w:r>
            <w:proofErr w:type="gramEnd"/>
            <w:r w:rsidRPr="00A0678B">
              <w:rPr>
                <w:rFonts w:eastAsia="Times New Roman" w:cs="Arial"/>
                <w:i/>
                <w:iCs/>
                <w:color w:val="auto"/>
                <w:sz w:val="20"/>
                <w:szCs w:val="20"/>
                <w:lang w:val="en-US" w:eastAsia="en-BE"/>
              </w:rPr>
              <w:t xml:space="preserve"> waste resulting from subsequent treatment operations of the separately collected waste for which incineration delivers the best environmental outcome in accordance with Article 4</w:t>
            </w:r>
            <w:r w:rsidRPr="00A0678B">
              <w:rPr>
                <w:rFonts w:eastAsia="Times New Roman" w:cs="Arial"/>
                <w:color w:val="auto"/>
                <w:sz w:val="20"/>
                <w:szCs w:val="20"/>
                <w:lang w:val="en-US" w:eastAsia="en-BE"/>
              </w:rPr>
              <w:t>.</w:t>
            </w:r>
          </w:p>
          <w:p w14:paraId="57381ED9" w14:textId="77777777" w:rsidR="00476AD8" w:rsidRPr="00A0678B" w:rsidRDefault="00476AD8" w:rsidP="00476AD8">
            <w:pPr>
              <w:pStyle w:val="ListParagraph"/>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BE" w:eastAsia="en-BE"/>
              </w:rPr>
            </w:pPr>
          </w:p>
          <w:p w14:paraId="08854963" w14:textId="082F5131" w:rsidR="000046E5" w:rsidRPr="00A0678B" w:rsidRDefault="00476AD8" w:rsidP="00476AD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BE" w:eastAsia="en-BE"/>
              </w:rPr>
            </w:pPr>
            <w:r w:rsidRPr="00A0678B">
              <w:rPr>
                <w:rFonts w:eastAsia="Times New Roman" w:cs="Arial"/>
                <w:color w:val="auto"/>
                <w:sz w:val="20"/>
                <w:szCs w:val="20"/>
                <w:lang w:val="en-US" w:eastAsia="en-BE"/>
              </w:rPr>
              <w:t xml:space="preserve">Article 5(3) </w:t>
            </w:r>
            <w:proofErr w:type="spellStart"/>
            <w:r w:rsidRPr="00A0678B">
              <w:rPr>
                <w:rFonts w:eastAsia="Times New Roman" w:cs="Arial"/>
                <w:color w:val="auto"/>
                <w:sz w:val="20"/>
                <w:szCs w:val="20"/>
                <w:lang w:val="en-US" w:eastAsia="en-BE"/>
              </w:rPr>
              <w:t>WFD</w:t>
            </w:r>
            <w:proofErr w:type="spellEnd"/>
            <w:r w:rsidRPr="00A0678B">
              <w:rPr>
                <w:rFonts w:eastAsia="Times New Roman" w:cs="Arial"/>
                <w:color w:val="auto"/>
                <w:sz w:val="20"/>
                <w:szCs w:val="20"/>
                <w:lang w:val="en-US" w:eastAsia="en-BE"/>
              </w:rPr>
              <w:t xml:space="preserve">: </w:t>
            </w:r>
            <w:r w:rsidRPr="00A0678B">
              <w:rPr>
                <w:rFonts w:eastAsia="Times New Roman" w:cs="Arial"/>
                <w:i/>
                <w:iCs/>
                <w:color w:val="auto"/>
                <w:sz w:val="20"/>
                <w:szCs w:val="20"/>
                <w:lang w:val="en-US" w:eastAsia="en-BE"/>
              </w:rPr>
              <w:t xml:space="preserve">Member States shall take measures in order that </w:t>
            </w:r>
            <w:r w:rsidRPr="00A0678B">
              <w:rPr>
                <w:rFonts w:eastAsia="Times New Roman" w:cs="Arial"/>
                <w:i/>
                <w:iCs/>
                <w:color w:val="auto"/>
                <w:sz w:val="20"/>
                <w:szCs w:val="20"/>
                <w:u w:val="single"/>
                <w:lang w:val="en-US" w:eastAsia="en-BE"/>
              </w:rPr>
              <w:t>the following wastes are not accepted in a landfill</w:t>
            </w:r>
            <w:r w:rsidRPr="00A0678B">
              <w:rPr>
                <w:rFonts w:eastAsia="Times New Roman" w:cs="Arial"/>
                <w:i/>
                <w:iCs/>
                <w:color w:val="auto"/>
                <w:sz w:val="20"/>
                <w:szCs w:val="20"/>
                <w:lang w:val="en-US" w:eastAsia="en-BE"/>
              </w:rPr>
              <w:t xml:space="preserve">: (g) </w:t>
            </w:r>
            <w:r w:rsidRPr="00A0678B">
              <w:rPr>
                <w:rFonts w:eastAsia="Times New Roman" w:cs="Arial"/>
                <w:i/>
                <w:iCs/>
                <w:color w:val="auto"/>
                <w:sz w:val="20"/>
                <w:szCs w:val="20"/>
                <w:u w:val="single"/>
                <w:lang w:val="en-US" w:eastAsia="en-BE"/>
              </w:rPr>
              <w:t xml:space="preserve">waste that has been separately collected for preparing for re-use and </w:t>
            </w:r>
            <w:r w:rsidRPr="00A0678B">
              <w:rPr>
                <w:rFonts w:eastAsia="Times New Roman" w:cs="Arial"/>
                <w:i/>
                <w:iCs/>
                <w:color w:val="auto"/>
                <w:sz w:val="20"/>
                <w:szCs w:val="20"/>
                <w:u w:val="single"/>
                <w:lang w:val="en-US" w:eastAsia="en-BE"/>
              </w:rPr>
              <w:lastRenderedPageBreak/>
              <w:t>recycling</w:t>
            </w:r>
            <w:r w:rsidRPr="00A0678B">
              <w:rPr>
                <w:rFonts w:eastAsia="Times New Roman" w:cs="Arial"/>
                <w:i/>
                <w:iCs/>
                <w:color w:val="auto"/>
                <w:sz w:val="20"/>
                <w:szCs w:val="20"/>
                <w:lang w:val="en-US" w:eastAsia="en-BE"/>
              </w:rPr>
              <w:t xml:space="preserve"> pursuant to Article 11(1) of Directive 2008/98/EC and Article 22 of that Directive, with the exception of waste resulting from subsequent treatment operations of the separately collected waste for which landfilling delivers the best environmental outcome in accordance with Article 4 of that Directive</w:t>
            </w:r>
            <w:r w:rsidRPr="00A0678B">
              <w:rPr>
                <w:rFonts w:eastAsia="Times New Roman" w:cs="Arial"/>
                <w:color w:val="auto"/>
                <w:sz w:val="20"/>
                <w:szCs w:val="20"/>
                <w:lang w:val="en-US" w:eastAsia="en-BE"/>
              </w:rPr>
              <w:t>.</w:t>
            </w:r>
          </w:p>
        </w:tc>
        <w:tc>
          <w:tcPr>
            <w:tcW w:w="2750" w:type="dxa"/>
          </w:tcPr>
          <w:p w14:paraId="7C5D09A4" w14:textId="77777777" w:rsidR="000046E5" w:rsidRPr="00A0678B" w:rsidRDefault="000046E5">
            <w:pPr>
              <w:cnfStyle w:val="000000000000" w:firstRow="0" w:lastRow="0" w:firstColumn="0" w:lastColumn="0" w:oddVBand="0" w:evenVBand="0" w:oddHBand="0" w:evenHBand="0" w:firstRowFirstColumn="0" w:firstRowLastColumn="0" w:lastRowFirstColumn="0" w:lastRowLastColumn="0"/>
            </w:pPr>
          </w:p>
        </w:tc>
        <w:tc>
          <w:tcPr>
            <w:tcW w:w="3830" w:type="dxa"/>
          </w:tcPr>
          <w:p w14:paraId="1847DF01" w14:textId="77777777" w:rsidR="000046E5" w:rsidRPr="00A0678B" w:rsidRDefault="000046E5">
            <w:pPr>
              <w:cnfStyle w:val="000000000000" w:firstRow="0" w:lastRow="0" w:firstColumn="0" w:lastColumn="0" w:oddVBand="0" w:evenVBand="0" w:oddHBand="0" w:evenHBand="0" w:firstRowFirstColumn="0" w:firstRowLastColumn="0" w:lastRowFirstColumn="0" w:lastRowLastColumn="0"/>
            </w:pPr>
          </w:p>
        </w:tc>
        <w:tc>
          <w:tcPr>
            <w:tcW w:w="2236" w:type="dxa"/>
          </w:tcPr>
          <w:p w14:paraId="1842D7BF" w14:textId="77777777" w:rsidR="000046E5" w:rsidRPr="00A0678B" w:rsidRDefault="000046E5">
            <w:pPr>
              <w:cnfStyle w:val="000000000000" w:firstRow="0" w:lastRow="0" w:firstColumn="0" w:lastColumn="0" w:oddVBand="0" w:evenVBand="0" w:oddHBand="0" w:evenHBand="0" w:firstRowFirstColumn="0" w:firstRowLastColumn="0" w:lastRowFirstColumn="0" w:lastRowLastColumn="0"/>
            </w:pPr>
          </w:p>
        </w:tc>
      </w:tr>
      <w:tr w:rsidR="000046E5" w:rsidRPr="00A0678B" w14:paraId="717F0562" w14:textId="77777777" w:rsidTr="004A0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6C138C1D" w14:textId="7E46A98D" w:rsidR="000046E5" w:rsidRPr="00A0678B" w:rsidRDefault="00F73E52">
            <w:pPr>
              <w:rPr>
                <w:rFonts w:ascii="Arial" w:hAnsi="Arial" w:cs="Arial"/>
                <w:sz w:val="20"/>
                <w:szCs w:val="20"/>
              </w:rPr>
            </w:pPr>
            <w:r w:rsidRPr="00A0678B">
              <w:rPr>
                <w:rStyle w:val="cf01"/>
                <w:rFonts w:ascii="Arial" w:hAnsi="Arial" w:cs="Arial"/>
                <w:sz w:val="20"/>
                <w:szCs w:val="20"/>
                <w:lang w:val="en-US"/>
              </w:rPr>
              <w:lastRenderedPageBreak/>
              <w:t>section 4.3.5.2</w:t>
            </w:r>
          </w:p>
        </w:tc>
        <w:tc>
          <w:tcPr>
            <w:tcW w:w="1670" w:type="dxa"/>
          </w:tcPr>
          <w:p w14:paraId="44F33603" w14:textId="77777777" w:rsidR="000046E5" w:rsidRPr="00A0678B" w:rsidRDefault="000046E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93" w:type="dxa"/>
          </w:tcPr>
          <w:p w14:paraId="416BE622" w14:textId="2B037068" w:rsidR="000046E5" w:rsidRPr="00A0678B" w:rsidRDefault="004C7E74" w:rsidP="004C7E74">
            <w:pPr>
              <w:pStyle w:val="pf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lang w:val="en-US"/>
              </w:rPr>
            </w:pPr>
            <w:r w:rsidRPr="00A0678B">
              <w:rPr>
                <w:rStyle w:val="cf01"/>
                <w:rFonts w:ascii="Arial" w:hAnsi="Arial" w:cs="Arial"/>
                <w:sz w:val="20"/>
                <w:szCs w:val="20"/>
                <w:lang w:val="en-US"/>
              </w:rPr>
              <w:t xml:space="preserve">In relation to the outlook on recycling capacity in the EU (section 4.3.5.2), the impact of mandatory recycled content should be addressed. </w:t>
            </w:r>
          </w:p>
        </w:tc>
        <w:tc>
          <w:tcPr>
            <w:tcW w:w="2750" w:type="dxa"/>
          </w:tcPr>
          <w:p w14:paraId="63688668" w14:textId="77777777" w:rsidR="000046E5" w:rsidRPr="00A0678B" w:rsidRDefault="000046E5">
            <w:pPr>
              <w:cnfStyle w:val="000000100000" w:firstRow="0" w:lastRow="0" w:firstColumn="0" w:lastColumn="0" w:oddVBand="0" w:evenVBand="0" w:oddHBand="1" w:evenHBand="0" w:firstRowFirstColumn="0" w:firstRowLastColumn="0" w:lastRowFirstColumn="0" w:lastRowLastColumn="0"/>
            </w:pPr>
          </w:p>
        </w:tc>
        <w:tc>
          <w:tcPr>
            <w:tcW w:w="3830" w:type="dxa"/>
          </w:tcPr>
          <w:p w14:paraId="3BF93EBD" w14:textId="3DFC1D00" w:rsidR="000046E5" w:rsidRPr="00A0678B" w:rsidRDefault="004B7AF2">
            <w:pPr>
              <w:cnfStyle w:val="000000100000" w:firstRow="0" w:lastRow="0" w:firstColumn="0" w:lastColumn="0" w:oddVBand="0" w:evenVBand="0" w:oddHBand="1" w:evenHBand="0" w:firstRowFirstColumn="0" w:firstRowLastColumn="0" w:lastRowFirstColumn="0" w:lastRowLastColumn="0"/>
            </w:pPr>
            <w:proofErr w:type="gramStart"/>
            <w:r w:rsidRPr="00A0678B">
              <w:rPr>
                <w:rStyle w:val="cf01"/>
                <w:rFonts w:ascii="Arial" w:hAnsi="Arial" w:cs="Arial"/>
                <w:sz w:val="20"/>
                <w:szCs w:val="20"/>
                <w:lang w:val="en-US"/>
              </w:rPr>
              <w:t>Much</w:t>
            </w:r>
            <w:proofErr w:type="gramEnd"/>
            <w:r w:rsidRPr="00A0678B">
              <w:rPr>
                <w:rStyle w:val="cf01"/>
                <w:rFonts w:ascii="Arial" w:hAnsi="Arial" w:cs="Arial"/>
                <w:sz w:val="20"/>
                <w:szCs w:val="20"/>
                <w:lang w:val="en-US"/>
              </w:rPr>
              <w:t xml:space="preserve"> investments are needed in scaling up these technologies will only work if policies will require producers/retailer to use certain quota of recycled materials. The report looks at the development of recycling capacities for packaging, but only until 2006 whereas major developments happened afterwards, with the implementation of the European Union’s Plastics Strategy and the Single-Use Plastics Directive, which gave a strong push to the plastic recycling </w:t>
            </w:r>
            <w:r w:rsidRPr="00A0678B">
              <w:rPr>
                <w:rStyle w:val="cf01"/>
                <w:rFonts w:ascii="Arial" w:hAnsi="Arial" w:cs="Arial"/>
                <w:sz w:val="20"/>
                <w:szCs w:val="20"/>
                <w:lang w:val="en-US"/>
              </w:rPr>
              <w:lastRenderedPageBreak/>
              <w:t>industry to grow, e.g., due to mandatory recycled content requirements.</w:t>
            </w:r>
            <w:r w:rsidRPr="00A0678B">
              <w:rPr>
                <w:rStyle w:val="FootnoteReference"/>
                <w:rFonts w:ascii="Arial" w:hAnsi="Arial" w:cs="Arial"/>
                <w:color w:val="333333"/>
                <w:sz w:val="20"/>
                <w:szCs w:val="20"/>
                <w:lang w:val="en-US"/>
              </w:rPr>
              <w:footnoteReference w:id="1"/>
            </w:r>
            <w:r w:rsidRPr="00A0678B">
              <w:rPr>
                <w:rStyle w:val="cf01"/>
                <w:rFonts w:ascii="Arial" w:hAnsi="Arial" w:cs="Arial"/>
                <w:sz w:val="20"/>
                <w:szCs w:val="20"/>
                <w:lang w:val="en-US"/>
              </w:rPr>
              <w:t xml:space="preserve"> The report should acknowledge and assess the potential of mandatory recycled content for textiles to scale up recycling capacities.</w:t>
            </w:r>
          </w:p>
        </w:tc>
        <w:tc>
          <w:tcPr>
            <w:tcW w:w="2236" w:type="dxa"/>
          </w:tcPr>
          <w:p w14:paraId="63E8B545" w14:textId="77777777" w:rsidR="000046E5" w:rsidRPr="00A0678B" w:rsidRDefault="000046E5">
            <w:pPr>
              <w:cnfStyle w:val="000000100000" w:firstRow="0" w:lastRow="0" w:firstColumn="0" w:lastColumn="0" w:oddVBand="0" w:evenVBand="0" w:oddHBand="1" w:evenHBand="0" w:firstRowFirstColumn="0" w:firstRowLastColumn="0" w:lastRowFirstColumn="0" w:lastRowLastColumn="0"/>
            </w:pPr>
          </w:p>
        </w:tc>
      </w:tr>
      <w:tr w:rsidR="000046E5" w:rsidRPr="00A0678B" w14:paraId="3EB8C342" w14:textId="77777777" w:rsidTr="004A0F83">
        <w:tc>
          <w:tcPr>
            <w:cnfStyle w:val="001000000000" w:firstRow="0" w:lastRow="0" w:firstColumn="1" w:lastColumn="0" w:oddVBand="0" w:evenVBand="0" w:oddHBand="0" w:evenHBand="0" w:firstRowFirstColumn="0" w:firstRowLastColumn="0" w:lastRowFirstColumn="0" w:lastRowLastColumn="0"/>
            <w:tcW w:w="1269" w:type="dxa"/>
          </w:tcPr>
          <w:p w14:paraId="30FE8154" w14:textId="77777777" w:rsidR="000046E5" w:rsidRPr="00A0678B" w:rsidRDefault="000046E5">
            <w:pPr>
              <w:rPr>
                <w:rFonts w:ascii="Arial" w:hAnsi="Arial" w:cs="Arial"/>
                <w:sz w:val="20"/>
                <w:szCs w:val="20"/>
              </w:rPr>
            </w:pPr>
          </w:p>
        </w:tc>
        <w:tc>
          <w:tcPr>
            <w:tcW w:w="1670" w:type="dxa"/>
          </w:tcPr>
          <w:p w14:paraId="2EB44FC1" w14:textId="77777777" w:rsidR="000046E5" w:rsidRPr="00A0678B" w:rsidRDefault="000046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93" w:type="dxa"/>
          </w:tcPr>
          <w:p w14:paraId="56646997" w14:textId="7F5FA0EF" w:rsidR="000046E5" w:rsidRPr="00A0678B" w:rsidRDefault="00A568A4" w:rsidP="00A568A4">
            <w:pPr>
              <w:pStyle w:val="pf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678B">
              <w:rPr>
                <w:rStyle w:val="cf01"/>
                <w:rFonts w:ascii="Arial" w:hAnsi="Arial" w:cs="Arial"/>
                <w:sz w:val="20"/>
                <w:szCs w:val="20"/>
              </w:rPr>
              <w:t xml:space="preserve">Another discrepancy is that the </w:t>
            </w:r>
            <w:proofErr w:type="gramStart"/>
            <w:r w:rsidRPr="00A0678B">
              <w:rPr>
                <w:rStyle w:val="cf01"/>
                <w:rFonts w:ascii="Arial" w:hAnsi="Arial" w:cs="Arial"/>
                <w:sz w:val="20"/>
                <w:szCs w:val="20"/>
              </w:rPr>
              <w:t>amount</w:t>
            </w:r>
            <w:proofErr w:type="gramEnd"/>
            <w:r w:rsidRPr="00A0678B">
              <w:rPr>
                <w:rStyle w:val="cf01"/>
                <w:rFonts w:ascii="Arial" w:hAnsi="Arial" w:cs="Arial"/>
                <w:sz w:val="20"/>
                <w:szCs w:val="20"/>
              </w:rPr>
              <w:t xml:space="preserve"> of textiles disposed of almost corresponds to consumption. </w:t>
            </w:r>
          </w:p>
        </w:tc>
        <w:tc>
          <w:tcPr>
            <w:tcW w:w="2750" w:type="dxa"/>
          </w:tcPr>
          <w:p w14:paraId="6533B4D3" w14:textId="77777777" w:rsidR="000046E5" w:rsidRPr="00A0678B" w:rsidRDefault="000046E5">
            <w:pPr>
              <w:cnfStyle w:val="000000000000" w:firstRow="0" w:lastRow="0" w:firstColumn="0" w:lastColumn="0" w:oddVBand="0" w:evenVBand="0" w:oddHBand="0" w:evenHBand="0" w:firstRowFirstColumn="0" w:firstRowLastColumn="0" w:lastRowFirstColumn="0" w:lastRowLastColumn="0"/>
            </w:pPr>
          </w:p>
        </w:tc>
        <w:tc>
          <w:tcPr>
            <w:tcW w:w="3830" w:type="dxa"/>
          </w:tcPr>
          <w:p w14:paraId="0BACDCDF" w14:textId="12ADEC02" w:rsidR="000046E5" w:rsidRPr="00A0678B" w:rsidRDefault="004B7AF2">
            <w:pPr>
              <w:cnfStyle w:val="000000000000" w:firstRow="0" w:lastRow="0" w:firstColumn="0" w:lastColumn="0" w:oddVBand="0" w:evenVBand="0" w:oddHBand="0" w:evenHBand="0" w:firstRowFirstColumn="0" w:firstRowLastColumn="0" w:lastRowFirstColumn="0" w:lastRowLastColumn="0"/>
            </w:pPr>
            <w:proofErr w:type="gramStart"/>
            <w:r w:rsidRPr="00A0678B">
              <w:rPr>
                <w:rStyle w:val="cf01"/>
                <w:rFonts w:ascii="Arial" w:hAnsi="Arial" w:cs="Arial"/>
                <w:sz w:val="20"/>
                <w:szCs w:val="20"/>
              </w:rPr>
              <w:t>With</w:t>
            </w:r>
            <w:r w:rsidRPr="00A0678B">
              <w:rPr>
                <w:rStyle w:val="cf01"/>
                <w:rFonts w:ascii="Arial" w:hAnsi="Arial" w:cs="Arial"/>
                <w:sz w:val="20"/>
                <w:szCs w:val="20"/>
                <w:lang w:val="en-US"/>
              </w:rPr>
              <w:t xml:space="preserve"> </w:t>
            </w:r>
            <w:r w:rsidRPr="00A0678B">
              <w:rPr>
                <w:rStyle w:val="cf01"/>
                <w:rFonts w:ascii="Arial" w:hAnsi="Arial" w:cs="Arial"/>
                <w:sz w:val="20"/>
                <w:szCs w:val="20"/>
              </w:rPr>
              <w:t>regard to</w:t>
            </w:r>
            <w:proofErr w:type="gramEnd"/>
            <w:r w:rsidRPr="00A0678B">
              <w:rPr>
                <w:rStyle w:val="cf01"/>
                <w:rFonts w:ascii="Arial" w:hAnsi="Arial" w:cs="Arial"/>
                <w:sz w:val="20"/>
                <w:szCs w:val="20"/>
              </w:rPr>
              <w:t xml:space="preserve"> the different textile products, it can be assumed that the actual useful life is longer (than one year),</w:t>
            </w:r>
            <w:r w:rsidRPr="00A0678B">
              <w:rPr>
                <w:rStyle w:val="cf01"/>
                <w:rFonts w:ascii="Arial" w:hAnsi="Arial" w:cs="Arial"/>
                <w:sz w:val="20"/>
                <w:szCs w:val="20"/>
                <w:lang w:val="en-US"/>
              </w:rPr>
              <w:t xml:space="preserve"> </w:t>
            </w:r>
            <w:r w:rsidRPr="00A0678B">
              <w:rPr>
                <w:rStyle w:val="cf01"/>
                <w:rFonts w:ascii="Arial" w:hAnsi="Arial" w:cs="Arial"/>
                <w:sz w:val="20"/>
                <w:szCs w:val="20"/>
              </w:rPr>
              <w:t>so that disposed or separately collected textiles are likely lower in 2019.</w:t>
            </w:r>
          </w:p>
        </w:tc>
        <w:tc>
          <w:tcPr>
            <w:tcW w:w="2236" w:type="dxa"/>
          </w:tcPr>
          <w:p w14:paraId="01A1FECE" w14:textId="77777777" w:rsidR="000046E5" w:rsidRPr="00A0678B" w:rsidRDefault="000046E5">
            <w:pPr>
              <w:cnfStyle w:val="000000000000" w:firstRow="0" w:lastRow="0" w:firstColumn="0" w:lastColumn="0" w:oddVBand="0" w:evenVBand="0" w:oddHBand="0" w:evenHBand="0" w:firstRowFirstColumn="0" w:firstRowLastColumn="0" w:lastRowFirstColumn="0" w:lastRowLastColumn="0"/>
            </w:pPr>
          </w:p>
        </w:tc>
      </w:tr>
      <w:tr w:rsidR="004A0F83" w:rsidRPr="00A0678B" w14:paraId="4BF72F3D" w14:textId="77777777" w:rsidTr="004A0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3DF0888C" w14:textId="77777777" w:rsidR="004A0F83" w:rsidRPr="00A0678B" w:rsidRDefault="004A0F83">
            <w:pPr>
              <w:rPr>
                <w:rFonts w:ascii="Arial" w:hAnsi="Arial" w:cs="Arial"/>
                <w:sz w:val="20"/>
                <w:szCs w:val="20"/>
              </w:rPr>
            </w:pPr>
          </w:p>
        </w:tc>
        <w:tc>
          <w:tcPr>
            <w:tcW w:w="1670" w:type="dxa"/>
          </w:tcPr>
          <w:p w14:paraId="4FB33847" w14:textId="77777777" w:rsidR="004A0F83" w:rsidRPr="00A0678B" w:rsidRDefault="004A0F8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93" w:type="dxa"/>
          </w:tcPr>
          <w:p w14:paraId="2982D855" w14:textId="06825B19" w:rsidR="004A0F83" w:rsidRPr="00A0678B" w:rsidRDefault="004A0F83" w:rsidP="00A568A4">
            <w:pPr>
              <w:pStyle w:val="pf0"/>
              <w:cnfStyle w:val="000000100000" w:firstRow="0" w:lastRow="0" w:firstColumn="0" w:lastColumn="0" w:oddVBand="0" w:evenVBand="0" w:oddHBand="1" w:evenHBand="0" w:firstRowFirstColumn="0" w:firstRowLastColumn="0" w:lastRowFirstColumn="0" w:lastRowLastColumn="0"/>
              <w:rPr>
                <w:rStyle w:val="cf01"/>
                <w:rFonts w:ascii="Arial" w:hAnsi="Arial" w:cs="Arial"/>
                <w:sz w:val="20"/>
                <w:szCs w:val="20"/>
              </w:rPr>
            </w:pPr>
            <w:r>
              <w:rPr>
                <w:rStyle w:val="cf01"/>
                <w:rFonts w:ascii="Arial" w:hAnsi="Arial" w:cs="Arial"/>
                <w:sz w:val="20"/>
                <w:szCs w:val="20"/>
                <w:lang w:val="en-US"/>
              </w:rPr>
              <w:t>T</w:t>
            </w:r>
            <w:r w:rsidRPr="004A0F83">
              <w:rPr>
                <w:rStyle w:val="cf01"/>
                <w:rFonts w:ascii="Arial" w:hAnsi="Arial" w:cs="Arial"/>
                <w:sz w:val="20"/>
                <w:szCs w:val="20"/>
              </w:rPr>
              <w:t>he contents of tables 3 and 4 are not consistent. Companies with no recycling activities are included (</w:t>
            </w:r>
            <w:proofErr w:type="gramStart"/>
            <w:r w:rsidRPr="004A0F83">
              <w:rPr>
                <w:rStyle w:val="cf01"/>
                <w:rFonts w:ascii="Arial" w:hAnsi="Arial" w:cs="Arial"/>
                <w:sz w:val="20"/>
                <w:szCs w:val="20"/>
              </w:rPr>
              <w:t>e.g.</w:t>
            </w:r>
            <w:proofErr w:type="gramEnd"/>
            <w:r w:rsidRPr="004A0F83">
              <w:rPr>
                <w:rStyle w:val="cf01"/>
                <w:rFonts w:ascii="Arial" w:hAnsi="Arial" w:cs="Arial"/>
                <w:sz w:val="20"/>
                <w:szCs w:val="20"/>
              </w:rPr>
              <w:t xml:space="preserve"> </w:t>
            </w:r>
            <w:proofErr w:type="spellStart"/>
            <w:r w:rsidRPr="004A0F83">
              <w:rPr>
                <w:rStyle w:val="cf01"/>
                <w:rFonts w:ascii="Arial" w:hAnsi="Arial" w:cs="Arial"/>
                <w:sz w:val="20"/>
                <w:szCs w:val="20"/>
              </w:rPr>
              <w:t>Remitex</w:t>
            </w:r>
            <w:proofErr w:type="spellEnd"/>
            <w:r w:rsidRPr="004A0F83">
              <w:rPr>
                <w:rStyle w:val="cf01"/>
                <w:rFonts w:ascii="Arial" w:hAnsi="Arial" w:cs="Arial"/>
                <w:sz w:val="20"/>
                <w:szCs w:val="20"/>
              </w:rPr>
              <w:t xml:space="preserve">, </w:t>
            </w:r>
            <w:proofErr w:type="spellStart"/>
            <w:r w:rsidRPr="004A0F83">
              <w:rPr>
                <w:rStyle w:val="cf01"/>
                <w:rFonts w:ascii="Arial" w:hAnsi="Arial" w:cs="Arial"/>
                <w:sz w:val="20"/>
                <w:szCs w:val="20"/>
              </w:rPr>
              <w:t>Retextil</w:t>
            </w:r>
            <w:proofErr w:type="spellEnd"/>
            <w:r w:rsidRPr="004A0F83">
              <w:rPr>
                <w:rStyle w:val="cf01"/>
                <w:rFonts w:ascii="Arial" w:hAnsi="Arial" w:cs="Arial"/>
                <w:sz w:val="20"/>
                <w:szCs w:val="20"/>
              </w:rPr>
              <w:t>), but there is no proper distinction between advanced recycling versus recycling for application outside apparel industry, as the first table also lists recyclers that currently perform this service as their main activity.</w:t>
            </w:r>
          </w:p>
        </w:tc>
        <w:tc>
          <w:tcPr>
            <w:tcW w:w="2750" w:type="dxa"/>
          </w:tcPr>
          <w:p w14:paraId="1BB1F4DF" w14:textId="77777777" w:rsidR="004A0F83" w:rsidRPr="00A0678B" w:rsidRDefault="004A0F83">
            <w:pPr>
              <w:cnfStyle w:val="000000100000" w:firstRow="0" w:lastRow="0" w:firstColumn="0" w:lastColumn="0" w:oddVBand="0" w:evenVBand="0" w:oddHBand="1" w:evenHBand="0" w:firstRowFirstColumn="0" w:firstRowLastColumn="0" w:lastRowFirstColumn="0" w:lastRowLastColumn="0"/>
            </w:pPr>
          </w:p>
        </w:tc>
        <w:tc>
          <w:tcPr>
            <w:tcW w:w="3830" w:type="dxa"/>
          </w:tcPr>
          <w:p w14:paraId="150BC723" w14:textId="77777777" w:rsidR="004A0F83" w:rsidRPr="00A0678B" w:rsidRDefault="004A0F83">
            <w:pPr>
              <w:cnfStyle w:val="000000100000" w:firstRow="0" w:lastRow="0" w:firstColumn="0" w:lastColumn="0" w:oddVBand="0" w:evenVBand="0" w:oddHBand="1" w:evenHBand="0" w:firstRowFirstColumn="0" w:firstRowLastColumn="0" w:lastRowFirstColumn="0" w:lastRowLastColumn="0"/>
            </w:pPr>
          </w:p>
        </w:tc>
        <w:tc>
          <w:tcPr>
            <w:tcW w:w="2236" w:type="dxa"/>
          </w:tcPr>
          <w:p w14:paraId="7FE33F0F" w14:textId="77777777" w:rsidR="004A0F83" w:rsidRPr="00A0678B" w:rsidRDefault="004A0F83">
            <w:pPr>
              <w:cnfStyle w:val="000000100000" w:firstRow="0" w:lastRow="0" w:firstColumn="0" w:lastColumn="0" w:oddVBand="0" w:evenVBand="0" w:oddHBand="1" w:evenHBand="0" w:firstRowFirstColumn="0" w:firstRowLastColumn="0" w:lastRowFirstColumn="0" w:lastRowLastColumn="0"/>
            </w:pPr>
          </w:p>
        </w:tc>
      </w:tr>
      <w:tr w:rsidR="000046E5" w14:paraId="750F43DF" w14:textId="77777777" w:rsidTr="004A0F83">
        <w:tc>
          <w:tcPr>
            <w:cnfStyle w:val="001000000000" w:firstRow="0" w:lastRow="0" w:firstColumn="1" w:lastColumn="0" w:oddVBand="0" w:evenVBand="0" w:oddHBand="0" w:evenHBand="0" w:firstRowFirstColumn="0" w:firstRowLastColumn="0" w:lastRowFirstColumn="0" w:lastRowLastColumn="0"/>
            <w:tcW w:w="13948" w:type="dxa"/>
            <w:gridSpan w:val="6"/>
          </w:tcPr>
          <w:p w14:paraId="51278B13" w14:textId="77777777" w:rsidR="000046E5" w:rsidRDefault="000046E5">
            <w:r w:rsidRPr="00A0678B">
              <w:t>(</w:t>
            </w:r>
            <w:proofErr w:type="gramStart"/>
            <w:r w:rsidRPr="00A0678B">
              <w:t>add</w:t>
            </w:r>
            <w:proofErr w:type="gramEnd"/>
            <w:r w:rsidRPr="00A0678B">
              <w:t xml:space="preserve"> more lines of needed)</w:t>
            </w:r>
          </w:p>
        </w:tc>
      </w:tr>
    </w:tbl>
    <w:p w14:paraId="65ABB865" w14:textId="77777777" w:rsidR="00BE4F24" w:rsidRDefault="00000000"/>
    <w:sectPr w:rsidR="00BE4F24" w:rsidSect="000046E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9A95" w14:textId="77777777" w:rsidR="00B46BD0" w:rsidRDefault="00B46BD0" w:rsidP="004C7E74">
      <w:pPr>
        <w:spacing w:after="0" w:line="240" w:lineRule="auto"/>
      </w:pPr>
      <w:r>
        <w:separator/>
      </w:r>
    </w:p>
  </w:endnote>
  <w:endnote w:type="continuationSeparator" w:id="0">
    <w:p w14:paraId="4C8FDC40" w14:textId="77777777" w:rsidR="00B46BD0" w:rsidRDefault="00B46BD0" w:rsidP="004C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40F0" w14:textId="77777777" w:rsidR="00B46BD0" w:rsidRDefault="00B46BD0" w:rsidP="004C7E74">
      <w:pPr>
        <w:spacing w:after="0" w:line="240" w:lineRule="auto"/>
      </w:pPr>
      <w:r>
        <w:separator/>
      </w:r>
    </w:p>
  </w:footnote>
  <w:footnote w:type="continuationSeparator" w:id="0">
    <w:p w14:paraId="3130FFD6" w14:textId="77777777" w:rsidR="00B46BD0" w:rsidRDefault="00B46BD0" w:rsidP="004C7E74">
      <w:pPr>
        <w:spacing w:after="0" w:line="240" w:lineRule="auto"/>
      </w:pPr>
      <w:r>
        <w:continuationSeparator/>
      </w:r>
    </w:p>
  </w:footnote>
  <w:footnote w:id="1">
    <w:p w14:paraId="0BF14CF7" w14:textId="77777777" w:rsidR="004B7AF2" w:rsidRPr="00666E19" w:rsidRDefault="004B7AF2" w:rsidP="004B7AF2">
      <w:pPr>
        <w:pStyle w:val="FootnoteText"/>
        <w:rPr>
          <w:lang w:val="en-US"/>
        </w:rPr>
      </w:pPr>
      <w:r>
        <w:rPr>
          <w:rStyle w:val="FootnoteReference"/>
        </w:rPr>
        <w:footnoteRef/>
      </w:r>
      <w:r>
        <w:t xml:space="preserve"> </w:t>
      </w:r>
      <w:hyperlink r:id="rId1" w:history="1">
        <w:r w:rsidRPr="00B47E3F">
          <w:rPr>
            <w:rStyle w:val="Hyperlink"/>
          </w:rPr>
          <w:t>https://www.letsrecycle.com/news/europes-plastic-recycling-capacity-records-17-growth/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C3BA9"/>
    <w:multiLevelType w:val="multilevel"/>
    <w:tmpl w:val="929AC2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9E11B01"/>
    <w:multiLevelType w:val="hybridMultilevel"/>
    <w:tmpl w:val="433A5F80"/>
    <w:lvl w:ilvl="0" w:tplc="8D686E6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49414686">
    <w:abstractNumId w:val="0"/>
  </w:num>
  <w:num w:numId="2" w16cid:durableId="428083607">
    <w:abstractNumId w:val="0"/>
  </w:num>
  <w:num w:numId="3" w16cid:durableId="1328360072">
    <w:abstractNumId w:val="0"/>
  </w:num>
  <w:num w:numId="4" w16cid:durableId="1181049768">
    <w:abstractNumId w:val="0"/>
  </w:num>
  <w:num w:numId="5" w16cid:durableId="1761174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E5"/>
    <w:rsid w:val="0000358A"/>
    <w:rsid w:val="000046E5"/>
    <w:rsid w:val="000745E6"/>
    <w:rsid w:val="000B7B26"/>
    <w:rsid w:val="001B7D91"/>
    <w:rsid w:val="002606DC"/>
    <w:rsid w:val="002C1E5C"/>
    <w:rsid w:val="002F00B7"/>
    <w:rsid w:val="00476AD8"/>
    <w:rsid w:val="004A0F83"/>
    <w:rsid w:val="004B7AF2"/>
    <w:rsid w:val="004C7E74"/>
    <w:rsid w:val="005B65EF"/>
    <w:rsid w:val="00650950"/>
    <w:rsid w:val="007677F0"/>
    <w:rsid w:val="008905E4"/>
    <w:rsid w:val="008D3794"/>
    <w:rsid w:val="00922B31"/>
    <w:rsid w:val="009D370E"/>
    <w:rsid w:val="00A0678B"/>
    <w:rsid w:val="00A568A4"/>
    <w:rsid w:val="00AE31C7"/>
    <w:rsid w:val="00B46BD0"/>
    <w:rsid w:val="00BC12B0"/>
    <w:rsid w:val="00C8116F"/>
    <w:rsid w:val="00C84EFA"/>
    <w:rsid w:val="00CA3753"/>
    <w:rsid w:val="00D52A5F"/>
    <w:rsid w:val="00DB36BA"/>
    <w:rsid w:val="00F12169"/>
    <w:rsid w:val="00F73E52"/>
    <w:rsid w:val="00FD5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7562"/>
  <w15:chartTrackingRefBased/>
  <w15:docId w15:val="{4BDFE6F0-801E-4FF4-834C-47FBD9E2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8A"/>
    <w:pPr>
      <w:tabs>
        <w:tab w:val="left" w:pos="851"/>
      </w:tabs>
      <w:spacing w:after="120"/>
    </w:pPr>
    <w:rPr>
      <w:rFonts w:ascii="Times New Roman" w:hAnsi="Times New Roman"/>
      <w:sz w:val="24"/>
    </w:rPr>
  </w:style>
  <w:style w:type="paragraph" w:styleId="Heading1">
    <w:name w:val="heading 1"/>
    <w:basedOn w:val="Normal"/>
    <w:next w:val="Normal"/>
    <w:link w:val="Heading1Char"/>
    <w:uiPriority w:val="9"/>
    <w:qFormat/>
    <w:rsid w:val="0000358A"/>
    <w:pPr>
      <w:keepNext/>
      <w:keepLines/>
      <w:numPr>
        <w:numId w:val="4"/>
      </w:numPr>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00358A"/>
    <w:pPr>
      <w:keepNext/>
      <w:keepLines/>
      <w:numPr>
        <w:ilvl w:val="1"/>
        <w:numId w:val="4"/>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0358A"/>
    <w:pPr>
      <w:numPr>
        <w:ilvl w:val="2"/>
        <w:numId w:val="4"/>
      </w:numPr>
      <w:tabs>
        <w:tab w:val="left" w:pos="1021"/>
      </w:tabs>
      <w:jc w:val="both"/>
      <w:outlineLvl w:val="2"/>
    </w:pPr>
    <w:rPr>
      <w:rFonts w:eastAsia="Times New Roman" w:cs="Times New Roman"/>
      <w:szCs w:val="24"/>
    </w:rPr>
  </w:style>
  <w:style w:type="paragraph" w:styleId="Heading4">
    <w:name w:val="heading 4"/>
    <w:basedOn w:val="Normal"/>
    <w:next w:val="Normal"/>
    <w:link w:val="Heading4Char"/>
    <w:uiPriority w:val="9"/>
    <w:semiHidden/>
    <w:unhideWhenUsed/>
    <w:qFormat/>
    <w:rsid w:val="0000358A"/>
    <w:pPr>
      <w:keepNext/>
      <w:keepLines/>
      <w:tabs>
        <w:tab w:val="left" w:pos="1304"/>
      </w:tab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58A"/>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00358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00358A"/>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0358A"/>
    <w:rPr>
      <w:rFonts w:ascii="Times New Roman" w:eastAsiaTheme="majorEastAsia" w:hAnsi="Times New Roman" w:cstheme="majorBidi"/>
      <w:bCs/>
      <w:i/>
      <w:iCs/>
      <w:sz w:val="24"/>
    </w:rPr>
  </w:style>
  <w:style w:type="paragraph" w:styleId="TOC1">
    <w:name w:val="toc 1"/>
    <w:basedOn w:val="Normal"/>
    <w:next w:val="Normal"/>
    <w:autoRedefine/>
    <w:uiPriority w:val="39"/>
    <w:unhideWhenUsed/>
    <w:qFormat/>
    <w:rsid w:val="0000358A"/>
    <w:pPr>
      <w:tabs>
        <w:tab w:val="left" w:pos="0"/>
        <w:tab w:val="left" w:pos="1440"/>
        <w:tab w:val="right" w:pos="9016"/>
      </w:tabs>
      <w:spacing w:after="0"/>
    </w:pPr>
    <w:rPr>
      <w:rFonts w:ascii="Times New Roman Bold" w:hAnsi="Times New Roman Bold"/>
      <w:bCs/>
      <w:noProof/>
      <w:sz w:val="20"/>
      <w:szCs w:val="24"/>
    </w:rPr>
  </w:style>
  <w:style w:type="paragraph" w:styleId="TOC3">
    <w:name w:val="toc 3"/>
    <w:basedOn w:val="Normal"/>
    <w:next w:val="Normal"/>
    <w:uiPriority w:val="39"/>
    <w:unhideWhenUsed/>
    <w:qFormat/>
    <w:rsid w:val="0000358A"/>
    <w:pPr>
      <w:spacing w:after="0"/>
      <w:ind w:firstLine="851"/>
    </w:pPr>
    <w:rPr>
      <w:szCs w:val="20"/>
    </w:rPr>
  </w:style>
  <w:style w:type="table" w:styleId="TableGrid">
    <w:name w:val="Table Grid"/>
    <w:basedOn w:val="TableNormal"/>
    <w:uiPriority w:val="59"/>
    <w:rsid w:val="0000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046E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76AD8"/>
    <w:pPr>
      <w:tabs>
        <w:tab w:val="clear" w:pos="851"/>
      </w:tabs>
      <w:spacing w:after="0" w:line="240" w:lineRule="auto"/>
      <w:ind w:left="720"/>
      <w:contextualSpacing/>
    </w:pPr>
    <w:rPr>
      <w:rFonts w:ascii="Arial" w:hAnsi="Arial"/>
      <w:color w:val="000000" w:themeColor="text1"/>
      <w:sz w:val="22"/>
      <w:szCs w:val="24"/>
      <w:lang w:val="fr-BE"/>
    </w:rPr>
  </w:style>
  <w:style w:type="character" w:customStyle="1" w:styleId="cf01">
    <w:name w:val="cf01"/>
    <w:basedOn w:val="DefaultParagraphFont"/>
    <w:rsid w:val="00F73E52"/>
    <w:rPr>
      <w:rFonts w:ascii="Segoe UI" w:hAnsi="Segoe UI" w:cs="Segoe UI" w:hint="default"/>
      <w:color w:val="333333"/>
      <w:sz w:val="18"/>
      <w:szCs w:val="18"/>
    </w:rPr>
  </w:style>
  <w:style w:type="character" w:styleId="Hyperlink">
    <w:name w:val="Hyperlink"/>
    <w:basedOn w:val="DefaultParagraphFont"/>
    <w:uiPriority w:val="99"/>
    <w:unhideWhenUsed/>
    <w:rsid w:val="004C7E74"/>
    <w:rPr>
      <w:color w:val="0000FF" w:themeColor="hyperlink"/>
      <w:u w:val="single"/>
    </w:rPr>
  </w:style>
  <w:style w:type="paragraph" w:styleId="FootnoteText">
    <w:name w:val="footnote text"/>
    <w:basedOn w:val="Normal"/>
    <w:link w:val="FootnoteTextChar"/>
    <w:uiPriority w:val="99"/>
    <w:semiHidden/>
    <w:rsid w:val="004C7E74"/>
    <w:pPr>
      <w:keepNext/>
      <w:keepLines/>
      <w:tabs>
        <w:tab w:val="clear" w:pos="851"/>
        <w:tab w:val="left" w:pos="284"/>
      </w:tabs>
      <w:spacing w:before="57" w:after="0" w:line="260" w:lineRule="exact"/>
      <w:ind w:left="284" w:hanging="284"/>
    </w:pPr>
    <w:rPr>
      <w:rFonts w:ascii="Georgia" w:eastAsia="Times New Roman" w:hAnsi="Georgia" w:cs="Times New Roman"/>
      <w:sz w:val="20"/>
      <w:szCs w:val="20"/>
      <w:lang w:val="de-DE" w:eastAsia="de-DE"/>
    </w:rPr>
  </w:style>
  <w:style w:type="character" w:customStyle="1" w:styleId="FootnoteTextChar">
    <w:name w:val="Footnote Text Char"/>
    <w:basedOn w:val="DefaultParagraphFont"/>
    <w:link w:val="FootnoteText"/>
    <w:uiPriority w:val="99"/>
    <w:semiHidden/>
    <w:rsid w:val="004C7E74"/>
    <w:rPr>
      <w:rFonts w:ascii="Georgia" w:eastAsia="Times New Roman" w:hAnsi="Georgia" w:cs="Times New Roman"/>
      <w:sz w:val="20"/>
      <w:szCs w:val="20"/>
      <w:lang w:val="de-DE" w:eastAsia="de-DE"/>
    </w:rPr>
  </w:style>
  <w:style w:type="character" w:styleId="FootnoteReference">
    <w:name w:val="footnote reference"/>
    <w:basedOn w:val="DefaultParagraphFont"/>
    <w:uiPriority w:val="99"/>
    <w:semiHidden/>
    <w:rsid w:val="004C7E74"/>
    <w:rPr>
      <w:sz w:val="18"/>
      <w:vertAlign w:val="superscript"/>
    </w:rPr>
  </w:style>
  <w:style w:type="paragraph" w:customStyle="1" w:styleId="pf0">
    <w:name w:val="pf0"/>
    <w:basedOn w:val="Normal"/>
    <w:rsid w:val="004C7E74"/>
    <w:pPr>
      <w:tabs>
        <w:tab w:val="clear" w:pos="851"/>
      </w:tabs>
      <w:spacing w:before="100" w:beforeAutospacing="1" w:after="100" w:afterAutospacing="1" w:line="240" w:lineRule="auto"/>
    </w:pPr>
    <w:rPr>
      <w:rFonts w:eastAsia="Times New Roman" w:cs="Times New Roman"/>
      <w:szCs w:val="24"/>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letsrecycle.com/news/europes-plastic-recycling-capacity-records-17-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d4d7d9-8995-423f-896a-7071cea071c9">
      <Terms xmlns="http://schemas.microsoft.com/office/infopath/2007/PartnerControls"/>
    </lcf76f155ced4ddcb4097134ff3c332f>
    <TaxCatchAll xmlns="b5e2b349-a18f-4497-973a-a1464950ca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0ABC5DDCAEC469D3B77CEC3FA9612" ma:contentTypeVersion="17" ma:contentTypeDescription="Create a new document." ma:contentTypeScope="" ma:versionID="af28ea0c40d75230b8a09c1f7d7d4d30">
  <xsd:schema xmlns:xsd="http://www.w3.org/2001/XMLSchema" xmlns:xs="http://www.w3.org/2001/XMLSchema" xmlns:p="http://schemas.microsoft.com/office/2006/metadata/properties" xmlns:ns2="abd4d7d9-8995-423f-896a-7071cea071c9" xmlns:ns3="b5e2b349-a18f-4497-973a-a1464950ca64" targetNamespace="http://schemas.microsoft.com/office/2006/metadata/properties" ma:root="true" ma:fieldsID="75c9362602f7fba0efb58032434c60e7" ns2:_="" ns3:_="">
    <xsd:import namespace="abd4d7d9-8995-423f-896a-7071cea071c9"/>
    <xsd:import namespace="b5e2b349-a18f-4497-973a-a1464950ca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d7d9-8995-423f-896a-7071cea07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0ecdda-45e1-4ce4-9374-17a93355d09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e2b349-a18f-4497-973a-a1464950ca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987d48-338f-4674-9936-b4dde270d7a6}" ma:internalName="TaxCatchAll" ma:showField="CatchAllData" ma:web="b5e2b349-a18f-4497-973a-a1464950c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15AD7-6B9E-4119-8C5B-8CCDA31C7C57}">
  <ds:schemaRefs>
    <ds:schemaRef ds:uri="http://schemas.microsoft.com/office/2006/metadata/properties"/>
    <ds:schemaRef ds:uri="http://schemas.microsoft.com/office/infopath/2007/PartnerControls"/>
    <ds:schemaRef ds:uri="abd4d7d9-8995-423f-896a-7071cea071c9"/>
    <ds:schemaRef ds:uri="b5e2b349-a18f-4497-973a-a1464950ca64"/>
  </ds:schemaRefs>
</ds:datastoreItem>
</file>

<file path=customXml/itemProps2.xml><?xml version="1.0" encoding="utf-8"?>
<ds:datastoreItem xmlns:ds="http://schemas.openxmlformats.org/officeDocument/2006/customXml" ds:itemID="{DD2180C7-F3C4-4490-A27B-22199E292034}">
  <ds:schemaRefs>
    <ds:schemaRef ds:uri="http://schemas.microsoft.com/sharepoint/v3/contenttype/forms"/>
  </ds:schemaRefs>
</ds:datastoreItem>
</file>

<file path=customXml/itemProps3.xml><?xml version="1.0" encoding="utf-8"?>
<ds:datastoreItem xmlns:ds="http://schemas.openxmlformats.org/officeDocument/2006/customXml" ds:itemID="{ADD7C14C-E4FF-4ABF-BB3E-5EB793C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d7d9-8995-423f-896a-7071cea071c9"/>
    <ds:schemaRef ds:uri="b5e2b349-a18f-4497-973a-a1464950c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HUYGENS Dries (JRC-SEVILLA)</dc:creator>
  <cp:keywords/>
  <dc:description/>
  <cp:lastModifiedBy>Aizea Astor Hoschen</cp:lastModifiedBy>
  <cp:revision>15</cp:revision>
  <dcterms:created xsi:type="dcterms:W3CDTF">2023-04-14T12:42:00Z</dcterms:created>
  <dcterms:modified xsi:type="dcterms:W3CDTF">2023-05-05T13:43:00Z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0x0101009140ABC5DDCAEC469D3B77CEC3FA9612</vt:lpwstr>
  </property>
  <property fmtid="{D5CDD505-2E9C-101B-9397-08002B2CF9AE}" pid="3" name="MediaServiceImageTags">
    <vt:lpwstr/>
  </property>
</Properties>
</file>